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72EE1" w:rsidP="007047F4" w:rsidRDefault="00C72EE1" w14:paraId="6189FDD2" w14:textId="38C88B58">
      <w:pPr>
        <w:pStyle w:val="Heading1"/>
        <w:spacing w:after="200"/>
      </w:pPr>
      <w:r>
        <w:drawing>
          <wp:inline wp14:editId="10AF2FC0" wp14:anchorId="1DB5FB15">
            <wp:extent cx="1143000" cy="1143000"/>
            <wp:effectExtent l="0" t="0" r="3175" b="3175"/>
            <wp:docPr id="1" name="Picture 1" title=""/>
            <wp:cNvGraphicFramePr>
              <a:graphicFrameLocks noChangeAspect="1"/>
            </wp:cNvGraphicFramePr>
            <a:graphic>
              <a:graphicData uri="http://schemas.openxmlformats.org/drawingml/2006/picture">
                <pic:pic>
                  <pic:nvPicPr>
                    <pic:cNvPr id="0" name="Picture 1"/>
                    <pic:cNvPicPr/>
                  </pic:nvPicPr>
                  <pic:blipFill>
                    <a:blip r:embed="Rb8774edf770b45b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143000" cy="1143000"/>
                    </a:xfrm>
                    <a:prstGeom prst="rect">
                      <a:avLst/>
                    </a:prstGeom>
                  </pic:spPr>
                </pic:pic>
              </a:graphicData>
            </a:graphic>
          </wp:inline>
        </w:drawing>
      </w:r>
      <w:r w:rsidRPr="005035B7" w:rsidR="005035B7">
        <w:rPr>
          <w:rFonts w:ascii="Arial" w:hAnsi="Arial" w:cs="Arial"/>
        </w:rPr>
        <w:t xml:space="preserve">                                                                       </w:t>
      </w:r>
      <w:r>
        <w:drawing>
          <wp:inline wp14:editId="2007BCD7" wp14:anchorId="01F13C86">
            <wp:extent cx="1059066" cy="1188720"/>
            <wp:effectExtent l="0" t="0" r="0" b="5080"/>
            <wp:docPr id="873232008" name="Picture 2" descr="A close up of a yellow wall&#10;&#10;Description automatically generated" title=""/>
            <wp:cNvGraphicFramePr>
              <a:graphicFrameLocks noChangeAspect="1"/>
            </wp:cNvGraphicFramePr>
            <a:graphic>
              <a:graphicData uri="http://schemas.openxmlformats.org/drawingml/2006/picture">
                <pic:pic>
                  <pic:nvPicPr>
                    <pic:cNvPr id="0" name="Picture 2"/>
                    <pic:cNvPicPr/>
                  </pic:nvPicPr>
                  <pic:blipFill>
                    <a:blip r:embed="R2ccb7111a5b1494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59066" cy="1188720"/>
                    </a:xfrm>
                    <a:prstGeom prst="rect">
                      <a:avLst/>
                    </a:prstGeom>
                  </pic:spPr>
                </pic:pic>
              </a:graphicData>
            </a:graphic>
          </wp:inline>
        </w:drawing>
      </w:r>
      <w:r w:rsidRPr="005035B7" w:rsidR="005035B7">
        <w:rPr>
          <w:rFonts w:ascii="Arial" w:hAnsi="Arial" w:cs="Arial"/>
        </w:rPr>
        <w:t xml:space="preserve">         </w:t>
      </w:r>
    </w:p>
    <w:p w:rsidRPr="00465C3C" w:rsidR="00781975" w:rsidP="228FEEE3" w:rsidRDefault="00782946" w14:paraId="4112BF0E" w14:textId="52C5880D">
      <w:pPr>
        <w:pStyle w:val="Heading1"/>
        <w:spacing w:after="200"/>
        <w:rPr>
          <w:rFonts w:ascii="Work Sans" w:hAnsi="Work Sans" w:cs="Arial"/>
          <w:sz w:val="24"/>
          <w:szCs w:val="24"/>
        </w:rPr>
      </w:pPr>
      <w:r w:rsidRPr="4BC3E06E" w:rsidR="4BC3E06E">
        <w:rPr>
          <w:rFonts w:ascii="Work Sans" w:hAnsi="Work Sans" w:cs="Arial"/>
        </w:rPr>
        <w:t>Gas Safety Week: Looking after your home, friends, and family</w:t>
      </w:r>
      <w:r>
        <w:br/>
      </w:r>
      <w:r>
        <w:br/>
      </w:r>
      <w:r w:rsidRPr="4BC3E06E" w:rsidR="4BC3E06E">
        <w:rPr>
          <w:rFonts w:ascii="Work Sans" w:hAnsi="Work Sans" w:cs="Arial"/>
          <w:sz w:val="24"/>
          <w:szCs w:val="24"/>
        </w:rPr>
        <w:t>Commercial catering – your legal responsibilities to ensure your customers and employees stay gas safe.</w:t>
      </w:r>
      <w:r w:rsidRPr="4BC3E06E" w:rsidR="4BC3E06E">
        <w:rPr>
          <w:rFonts w:ascii="Work Sans" w:hAnsi="Work Sans" w:cs="Arial"/>
        </w:rPr>
        <w:t xml:space="preserve"> </w:t>
      </w:r>
      <w:r>
        <w:br/>
      </w:r>
      <w:r>
        <w:br/>
      </w:r>
      <w:r w:rsidRPr="4BC3E06E" w:rsidR="4BC3E06E">
        <w:rPr>
          <w:rFonts w:ascii="Work Sans" w:hAnsi="Work Sans" w:eastAsia="Work Sans" w:cs="Work Sans"/>
          <w:b w:val="0"/>
          <w:bCs w:val="0"/>
          <w:color w:val="auto"/>
          <w:sz w:val="24"/>
          <w:szCs w:val="24"/>
          <w:lang w:eastAsia="en-US" w:bidi="ar-SA"/>
        </w:rPr>
        <w:t>We are proud to be supporting Gas Safety Week 2025, taking place on the 8</w:t>
      </w:r>
      <w:r w:rsidRPr="4BC3E06E" w:rsidR="4BC3E06E">
        <w:rPr>
          <w:rFonts w:ascii="Work Sans" w:hAnsi="Work Sans" w:eastAsia="Work Sans" w:cs="Work Sans"/>
          <w:b w:val="0"/>
          <w:bCs w:val="0"/>
          <w:color w:val="auto"/>
          <w:sz w:val="24"/>
          <w:szCs w:val="24"/>
          <w:vertAlign w:val="superscript"/>
          <w:lang w:eastAsia="en-US" w:bidi="ar-SA"/>
        </w:rPr>
        <w:t>th</w:t>
      </w:r>
      <w:r w:rsidRPr="4BC3E06E" w:rsidR="4BC3E06E">
        <w:rPr>
          <w:rFonts w:ascii="Work Sans" w:hAnsi="Work Sans" w:eastAsia="Work Sans" w:cs="Work Sans"/>
          <w:b w:val="0"/>
          <w:bCs w:val="0"/>
          <w:color w:val="auto"/>
          <w:sz w:val="24"/>
          <w:szCs w:val="24"/>
          <w:lang w:eastAsia="en-US" w:bidi="ar-SA"/>
        </w:rPr>
        <w:t xml:space="preserve"> – 14</w:t>
      </w:r>
      <w:r w:rsidRPr="4BC3E06E" w:rsidR="4BC3E06E">
        <w:rPr>
          <w:rFonts w:ascii="Work Sans" w:hAnsi="Work Sans" w:eastAsia="Work Sans" w:cs="Work Sans"/>
          <w:b w:val="0"/>
          <w:bCs w:val="0"/>
          <w:color w:val="auto"/>
          <w:sz w:val="24"/>
          <w:szCs w:val="24"/>
          <w:vertAlign w:val="superscript"/>
          <w:lang w:eastAsia="en-US" w:bidi="ar-SA"/>
        </w:rPr>
        <w:t>th</w:t>
      </w:r>
      <w:r w:rsidRPr="4BC3E06E" w:rsidR="4BC3E06E">
        <w:rPr>
          <w:rFonts w:ascii="Work Sans" w:hAnsi="Work Sans" w:eastAsia="Work Sans" w:cs="Work Sans"/>
          <w:b w:val="0"/>
          <w:bCs w:val="0"/>
          <w:color w:val="auto"/>
          <w:sz w:val="24"/>
          <w:szCs w:val="24"/>
          <w:lang w:eastAsia="en-US" w:bidi="ar-SA"/>
        </w:rPr>
        <w:t xml:space="preserve"> September. </w:t>
      </w:r>
    </w:p>
    <w:p w:rsidR="00F57E56" w:rsidP="00F57E56" w:rsidRDefault="00F57E56" w14:paraId="0462F82B" w14:textId="201BC7A3">
      <w:pPr>
        <w:jc w:val="both"/>
        <w:rPr>
          <w:rFonts w:ascii="Work Sans" w:hAnsi="Work Sans" w:cs="Arial"/>
          <w:sz w:val="24"/>
          <w:szCs w:val="24"/>
        </w:rPr>
      </w:pPr>
      <w:r w:rsidRPr="4BC3E06E" w:rsidR="4BC3E06E">
        <w:rPr>
          <w:rFonts w:ascii="Work Sans" w:hAnsi="Work Sans" w:cs="Arial"/>
          <w:sz w:val="24"/>
          <w:szCs w:val="24"/>
        </w:rPr>
        <w:t>Gas Safety Week (coordinated by Gas Safe Register, the official list of gas engineers who are</w:t>
      </w:r>
      <w:r w:rsidRPr="4BC3E06E" w:rsidR="4BC3E06E">
        <w:rPr>
          <w:rFonts w:ascii="Work Sans" w:hAnsi="Work Sans" w:cs="Arial"/>
          <w:color w:val="000000" w:themeColor="text1" w:themeTint="FF" w:themeShade="FF"/>
          <w:sz w:val="24"/>
          <w:szCs w:val="24"/>
        </w:rPr>
        <w:t xml:space="preserve"> legally allowed to work on gas)</w:t>
      </w:r>
      <w:r w:rsidRPr="4BC3E06E" w:rsidR="4BC3E06E">
        <w:rPr>
          <w:rFonts w:ascii="Work Sans" w:hAnsi="Work Sans" w:cs="Arial"/>
          <w:sz w:val="24"/>
          <w:szCs w:val="24"/>
        </w:rPr>
        <w:t xml:space="preserve"> is an annual safety week to raise awareness of the importance of gas safety. Encouraging the nation to get gas appliances checked annually by a qualified Gas Safe registered engineer. </w:t>
      </w:r>
    </w:p>
    <w:p w:rsidRPr="004A4BE5" w:rsidR="00F57E56" w:rsidP="00F57E56" w:rsidRDefault="00F57E56" w14:paraId="63D7298A" w14:textId="77777777">
      <w:pPr>
        <w:jc w:val="both"/>
        <w:rPr>
          <w:rFonts w:ascii="Work Sans" w:hAnsi="Work Sans" w:cs="Arial"/>
          <w:bCs/>
          <w:sz w:val="24"/>
          <w:szCs w:val="24"/>
        </w:rPr>
      </w:pPr>
      <w:bookmarkStart w:name="_Hlk169702544" w:id="0"/>
      <w:r>
        <w:rPr>
          <w:rFonts w:ascii="Work Sans" w:hAnsi="Work Sans" w:cs="Arial"/>
          <w:bCs/>
          <w:sz w:val="24"/>
          <w:szCs w:val="24"/>
        </w:rPr>
        <w:t>Unsafe gas appliances, whether b</w:t>
      </w:r>
      <w:r w:rsidRPr="00807F3D">
        <w:rPr>
          <w:rFonts w:ascii="Work Sans" w:hAnsi="Work Sans" w:cs="Arial"/>
          <w:bCs/>
          <w:sz w:val="24"/>
          <w:szCs w:val="24"/>
        </w:rPr>
        <w:t xml:space="preserve">adly fitted </w:t>
      </w:r>
      <w:r>
        <w:rPr>
          <w:rFonts w:ascii="Work Sans" w:hAnsi="Work Sans" w:cs="Arial"/>
          <w:bCs/>
          <w:sz w:val="24"/>
          <w:szCs w:val="24"/>
        </w:rPr>
        <w:t>or</w:t>
      </w:r>
      <w:r w:rsidRPr="00807F3D">
        <w:rPr>
          <w:rFonts w:ascii="Work Sans" w:hAnsi="Work Sans" w:cs="Arial"/>
          <w:bCs/>
          <w:sz w:val="24"/>
          <w:szCs w:val="24"/>
        </w:rPr>
        <w:t xml:space="preserve"> poorly serviced</w:t>
      </w:r>
      <w:r>
        <w:rPr>
          <w:rFonts w:ascii="Work Sans" w:hAnsi="Work Sans" w:cs="Arial"/>
          <w:bCs/>
          <w:sz w:val="24"/>
          <w:szCs w:val="24"/>
        </w:rPr>
        <w:t>, ca</w:t>
      </w:r>
      <w:r w:rsidRPr="00807F3D">
        <w:rPr>
          <w:rFonts w:ascii="Work Sans" w:hAnsi="Work Sans" w:cs="Arial"/>
          <w:bCs/>
          <w:sz w:val="24"/>
          <w:szCs w:val="24"/>
        </w:rPr>
        <w:t>n cause gas leaks, fires, explosions</w:t>
      </w:r>
      <w:r>
        <w:rPr>
          <w:rFonts w:ascii="Work Sans" w:hAnsi="Work Sans" w:cs="Arial"/>
          <w:bCs/>
          <w:sz w:val="24"/>
          <w:szCs w:val="24"/>
        </w:rPr>
        <w:t>,</w:t>
      </w:r>
      <w:r w:rsidRPr="00807F3D">
        <w:rPr>
          <w:rFonts w:ascii="Work Sans" w:hAnsi="Work Sans" w:cs="Arial"/>
          <w:bCs/>
          <w:sz w:val="24"/>
          <w:szCs w:val="24"/>
        </w:rPr>
        <w:t xml:space="preserve"> and carbon monoxide (CO) poisoning.</w:t>
      </w:r>
      <w:r>
        <w:rPr>
          <w:rFonts w:ascii="Work Sans" w:hAnsi="Work Sans" w:cs="Arial"/>
          <w:bCs/>
          <w:sz w:val="24"/>
          <w:szCs w:val="24"/>
        </w:rPr>
        <w:t xml:space="preserve"> </w:t>
      </w:r>
      <w:r w:rsidRPr="00807F3D">
        <w:rPr>
          <w:rFonts w:ascii="Work Sans" w:hAnsi="Work Sans" w:cs="Arial"/>
          <w:bCs/>
          <w:sz w:val="24"/>
          <w:szCs w:val="24"/>
        </w:rPr>
        <w:t>CO</w:t>
      </w:r>
      <w:r w:rsidRPr="00807F3D">
        <w:rPr>
          <w:rFonts w:ascii="Work Sans" w:hAnsi="Work Sans" w:cs="Arial"/>
          <w:sz w:val="24"/>
          <w:szCs w:val="24"/>
        </w:rPr>
        <w:t xml:space="preserve"> is a highly poisonous gas that can kill quickly and without warning, as you cannot s</w:t>
      </w:r>
      <w:r>
        <w:rPr>
          <w:rFonts w:ascii="Work Sans" w:hAnsi="Work Sans" w:cs="Arial"/>
          <w:sz w:val="24"/>
          <w:szCs w:val="24"/>
        </w:rPr>
        <w:t>mell</w:t>
      </w:r>
      <w:r w:rsidRPr="00807F3D">
        <w:rPr>
          <w:rFonts w:ascii="Work Sans" w:hAnsi="Work Sans" w:cs="Arial"/>
          <w:sz w:val="24"/>
          <w:szCs w:val="24"/>
        </w:rPr>
        <w:t xml:space="preserve"> it, </w:t>
      </w:r>
      <w:r>
        <w:rPr>
          <w:rFonts w:ascii="Work Sans" w:hAnsi="Work Sans" w:cs="Arial"/>
          <w:sz w:val="24"/>
          <w:szCs w:val="24"/>
        </w:rPr>
        <w:t>see</w:t>
      </w:r>
      <w:r w:rsidRPr="00807F3D">
        <w:rPr>
          <w:rFonts w:ascii="Work Sans" w:hAnsi="Work Sans" w:cs="Arial"/>
          <w:sz w:val="24"/>
          <w:szCs w:val="24"/>
        </w:rPr>
        <w:t xml:space="preserve"> it</w:t>
      </w:r>
      <w:r>
        <w:rPr>
          <w:rFonts w:ascii="Work Sans" w:hAnsi="Work Sans" w:cs="Arial"/>
          <w:sz w:val="24"/>
          <w:szCs w:val="24"/>
        </w:rPr>
        <w:t>,</w:t>
      </w:r>
      <w:r w:rsidRPr="00807F3D">
        <w:rPr>
          <w:rFonts w:ascii="Work Sans" w:hAnsi="Work Sans" w:cs="Arial"/>
          <w:sz w:val="24"/>
          <w:szCs w:val="24"/>
        </w:rPr>
        <w:t xml:space="preserve"> or </w:t>
      </w:r>
      <w:r>
        <w:rPr>
          <w:rFonts w:ascii="Work Sans" w:hAnsi="Work Sans" w:cs="Arial"/>
          <w:sz w:val="24"/>
          <w:szCs w:val="24"/>
        </w:rPr>
        <w:t>taste</w:t>
      </w:r>
      <w:r w:rsidRPr="00807F3D">
        <w:rPr>
          <w:rFonts w:ascii="Work Sans" w:hAnsi="Work Sans" w:cs="Arial"/>
          <w:sz w:val="24"/>
          <w:szCs w:val="24"/>
        </w:rPr>
        <w:t xml:space="preserve"> it.</w:t>
      </w:r>
      <w:r w:rsidRPr="00807F3D">
        <w:rPr>
          <w:rFonts w:ascii="Work Sans" w:hAnsi="Work Sans"/>
          <w:sz w:val="24"/>
          <w:szCs w:val="24"/>
        </w:rPr>
        <w:t xml:space="preserve"> </w:t>
      </w:r>
    </w:p>
    <w:bookmarkEnd w:id="0"/>
    <w:p w:rsidRPr="00465C3C" w:rsidR="0086324D" w:rsidP="1FB21D4A" w:rsidRDefault="00122E58" w14:paraId="75BC6311" w14:textId="3EEDDBFB">
      <w:pPr>
        <w:jc w:val="both"/>
        <w:rPr>
          <w:rFonts w:ascii="Work Sans" w:hAnsi="Work Sans" w:cs="Arial"/>
          <w:sz w:val="24"/>
          <w:szCs w:val="24"/>
        </w:rPr>
      </w:pPr>
      <w:r w:rsidRPr="4BC3E06E" w:rsidR="4BC3E06E">
        <w:rPr>
          <w:rFonts w:ascii="Work Sans" w:hAnsi="Work Sans" w:eastAsia="Work Sans" w:cs="Work Sans"/>
          <w:sz w:val="24"/>
          <w:szCs w:val="24"/>
        </w:rPr>
        <w:t>The theme this year is '</w:t>
      </w:r>
      <w:r w:rsidRPr="4BC3E06E" w:rsidR="4BC3E06E">
        <w:rPr>
          <w:rFonts w:ascii="Work Sans" w:hAnsi="Work Sans" w:eastAsia="Work Sans" w:cs="Work Sans"/>
          <w:i w:val="1"/>
          <w:iCs w:val="1"/>
          <w:sz w:val="24"/>
          <w:szCs w:val="24"/>
        </w:rPr>
        <w:t xml:space="preserve">Looking after your home, friends, and family' </w:t>
      </w:r>
      <w:r w:rsidRPr="4BC3E06E" w:rsidR="4BC3E06E">
        <w:rPr>
          <w:rFonts w:ascii="Work Sans" w:hAnsi="Work Sans" w:eastAsia="Work Sans" w:cs="Work Sans"/>
          <w:sz w:val="24"/>
          <w:szCs w:val="24"/>
        </w:rPr>
        <w:t xml:space="preserve">which emphasises that everyone has a role in keeping the nation gas safe, </w:t>
      </w:r>
      <w:r w:rsidRPr="4BC3E06E" w:rsidR="4BC3E06E">
        <w:rPr>
          <w:rFonts w:ascii="Work Sans" w:hAnsi="Work Sans" w:cs="Arial"/>
          <w:sz w:val="24"/>
          <w:szCs w:val="24"/>
        </w:rPr>
        <w:t>whether an employer responsible for the gas safety of the business, their employees and customers, or an employee who can brush up on their gas safety knowledge and confidence in knowing what to do should an issue or gas emergency arise. Showing that everyone can make a difference.</w:t>
      </w:r>
    </w:p>
    <w:p w:rsidRPr="00465C3C" w:rsidR="0086324D" w:rsidP="1FB21D4A" w:rsidRDefault="00122E58" w14:paraId="57D5728E" w14:textId="0FE527E3">
      <w:pPr>
        <w:pStyle w:val="Normal"/>
        <w:jc w:val="both"/>
        <w:rPr>
          <w:rFonts w:ascii="Work Sans" w:hAnsi="Work Sans" w:cs="Arial"/>
          <w:sz w:val="24"/>
          <w:szCs w:val="24"/>
        </w:rPr>
      </w:pPr>
      <w:r w:rsidRPr="4BC3E06E" w:rsidR="4BC3E06E">
        <w:rPr>
          <w:rFonts w:ascii="Work Sans" w:hAnsi="Work Sans" w:cs="Arial"/>
          <w:sz w:val="24"/>
          <w:szCs w:val="24"/>
        </w:rPr>
        <w:t xml:space="preserve">The law places duties on the responsible person (employer) at any place of work to ensure that any gas appliances, installation pipework and flues under their control, is </w:t>
      </w:r>
      <w:r w:rsidRPr="4BC3E06E" w:rsidR="4BC3E06E">
        <w:rPr>
          <w:rFonts w:ascii="Work Sans" w:hAnsi="Work Sans" w:cs="Arial"/>
          <w:sz w:val="24"/>
          <w:szCs w:val="24"/>
        </w:rPr>
        <w:t>maintained</w:t>
      </w:r>
      <w:r w:rsidRPr="4BC3E06E" w:rsidR="4BC3E06E">
        <w:rPr>
          <w:rFonts w:ascii="Work Sans" w:hAnsi="Work Sans" w:cs="Arial"/>
          <w:sz w:val="24"/>
          <w:szCs w:val="24"/>
        </w:rPr>
        <w:t xml:space="preserve"> in a safe condition to prevent risk of injury. If this applies to you, you are duty-bound to do the following:</w:t>
      </w:r>
    </w:p>
    <w:p w:rsidR="1FB21D4A" w:rsidP="1FB21D4A" w:rsidRDefault="1FB21D4A" w14:paraId="54F957A6" w14:textId="20BD2AC8">
      <w:pPr>
        <w:pStyle w:val="Normal"/>
        <w:ind w:left="0"/>
        <w:jc w:val="both"/>
        <w:rPr>
          <w:rFonts w:ascii="Work Sans" w:hAnsi="Work Sans" w:cs="Arial"/>
          <w:b w:val="1"/>
          <w:bCs w:val="1"/>
          <w:sz w:val="24"/>
          <w:szCs w:val="24"/>
        </w:rPr>
      </w:pPr>
    </w:p>
    <w:p w:rsidRPr="00465C3C" w:rsidR="00DC31E4" w:rsidP="3C81444D" w:rsidRDefault="007E0F03" w14:paraId="7DFF07BD" w14:textId="00EE9273">
      <w:pPr>
        <w:pStyle w:val="Normal"/>
        <w:ind w:left="0"/>
        <w:jc w:val="both"/>
        <w:rPr>
          <w:rFonts w:ascii="Work Sans" w:hAnsi="Work Sans" w:cs="Arial"/>
          <w:b w:val="1"/>
          <w:bCs w:val="1"/>
          <w:sz w:val="24"/>
          <w:szCs w:val="24"/>
        </w:rPr>
      </w:pPr>
      <w:r w:rsidRPr="4BC3E06E" w:rsidR="4BC3E06E">
        <w:rPr>
          <w:rFonts w:ascii="Work Sans" w:hAnsi="Work Sans" w:cs="Arial"/>
          <w:b w:val="1"/>
          <w:bCs w:val="1"/>
          <w:sz w:val="24"/>
          <w:szCs w:val="24"/>
        </w:rPr>
        <w:t xml:space="preserve">Gas equipment, extraction, and ventilation systems must be installed, commissioned, and </w:t>
      </w:r>
      <w:r w:rsidRPr="4BC3E06E" w:rsidR="4BC3E06E">
        <w:rPr>
          <w:rFonts w:ascii="Work Sans" w:hAnsi="Work Sans" w:cs="Arial"/>
          <w:b w:val="1"/>
          <w:bCs w:val="1"/>
          <w:sz w:val="24"/>
          <w:szCs w:val="24"/>
        </w:rPr>
        <w:t>maintained</w:t>
      </w:r>
      <w:r w:rsidRPr="4BC3E06E" w:rsidR="4BC3E06E">
        <w:rPr>
          <w:rFonts w:ascii="Work Sans" w:hAnsi="Work Sans" w:cs="Arial"/>
          <w:b w:val="1"/>
          <w:bCs w:val="1"/>
          <w:sz w:val="24"/>
          <w:szCs w:val="24"/>
        </w:rPr>
        <w:t xml:space="preserve"> by an appropriately qualified Gas Safe registered engineer.</w:t>
      </w:r>
    </w:p>
    <w:p w:rsidRPr="00465C3C" w:rsidR="00DC31E4" w:rsidP="1FB21D4A" w:rsidRDefault="007E0F03" w14:paraId="2071AE8C" w14:textId="0E8A3B4A">
      <w:pPr>
        <w:pStyle w:val="Normal"/>
        <w:ind w:left="0"/>
        <w:jc w:val="both"/>
        <w:rPr>
          <w:rFonts w:ascii="Work Sans" w:hAnsi="Work Sans" w:cs="Arial"/>
          <w:sz w:val="24"/>
          <w:szCs w:val="24"/>
        </w:rPr>
      </w:pPr>
      <w:r w:rsidRPr="4BC3E06E" w:rsidR="4BC3E06E">
        <w:rPr>
          <w:rFonts w:ascii="Work Sans" w:hAnsi="Work Sans" w:cs="Arial"/>
          <w:sz w:val="24"/>
          <w:szCs w:val="24"/>
        </w:rPr>
        <w:t xml:space="preserve">You may </w:t>
      </w:r>
      <w:r w:rsidRPr="4BC3E06E" w:rsidR="4BC3E06E">
        <w:rPr>
          <w:rFonts w:ascii="Work Sans" w:hAnsi="Work Sans" w:cs="Arial"/>
          <w:sz w:val="24"/>
          <w:szCs w:val="24"/>
        </w:rPr>
        <w:t>be required</w:t>
      </w:r>
      <w:r w:rsidRPr="4BC3E06E" w:rsidR="4BC3E06E">
        <w:rPr>
          <w:rFonts w:ascii="Work Sans" w:hAnsi="Work Sans" w:cs="Arial"/>
          <w:sz w:val="24"/>
          <w:szCs w:val="24"/>
        </w:rPr>
        <w:t xml:space="preserve"> to provide evidence of this during an inspection by the Environmental Health Officer (EHO), so ask your Gas Safe registered engineer to provide you with the relevant paperwork. If the EHO does not receive evidence of ongoing maintenance and annual safety checks, or if there are any safety concerns, they may serve a formal notice </w:t>
      </w:r>
      <w:r w:rsidRPr="4BC3E06E" w:rsidR="4BC3E06E">
        <w:rPr>
          <w:rFonts w:ascii="Work Sans" w:hAnsi="Work Sans" w:cs="Arial"/>
          <w:sz w:val="24"/>
          <w:szCs w:val="24"/>
        </w:rPr>
        <w:t>stating</w:t>
      </w:r>
      <w:r w:rsidRPr="4BC3E06E" w:rsidR="4BC3E06E">
        <w:rPr>
          <w:rFonts w:ascii="Work Sans" w:hAnsi="Work Sans" w:cs="Arial"/>
          <w:sz w:val="24"/>
          <w:szCs w:val="24"/>
        </w:rPr>
        <w:t xml:space="preserve"> what actions must be taken to </w:t>
      </w:r>
      <w:r w:rsidRPr="4BC3E06E" w:rsidR="4BC3E06E">
        <w:rPr>
          <w:rFonts w:ascii="Work Sans" w:hAnsi="Work Sans" w:cs="Arial"/>
          <w:sz w:val="24"/>
          <w:szCs w:val="24"/>
        </w:rPr>
        <w:t>comply with</w:t>
      </w:r>
      <w:r w:rsidRPr="4BC3E06E" w:rsidR="4BC3E06E">
        <w:rPr>
          <w:rFonts w:ascii="Work Sans" w:hAnsi="Work Sans" w:cs="Arial"/>
          <w:sz w:val="24"/>
          <w:szCs w:val="24"/>
        </w:rPr>
        <w:t xml:space="preserve"> the law</w:t>
      </w:r>
      <w:r w:rsidRPr="4BC3E06E" w:rsidR="4BC3E06E">
        <w:rPr>
          <w:rFonts w:ascii="Work Sans" w:hAnsi="Work Sans" w:cs="Arial"/>
          <w:sz w:val="24"/>
          <w:szCs w:val="24"/>
        </w:rPr>
        <w:t xml:space="preserve">.  </w:t>
      </w:r>
    </w:p>
    <w:p w:rsidRPr="0038540D" w:rsidR="0038540D" w:rsidP="1FB21D4A" w:rsidRDefault="00B702B7" w14:paraId="3D0966D5" w14:textId="61B5B26F">
      <w:pPr>
        <w:pStyle w:val="Normal"/>
        <w:jc w:val="both"/>
        <w:rPr>
          <w:rFonts w:ascii="Work Sans" w:hAnsi="Work Sans" w:cs="Arial"/>
          <w:sz w:val="24"/>
          <w:szCs w:val="24"/>
        </w:rPr>
      </w:pPr>
      <w:r>
        <w:br/>
      </w:r>
      <w:r w:rsidRPr="1FB21D4A" w:rsidR="1FB21D4A">
        <w:rPr>
          <w:rFonts w:ascii="Work Sans" w:hAnsi="Work Sans" w:cs="Arial"/>
          <w:b w:val="1"/>
          <w:bCs w:val="1"/>
          <w:sz w:val="24"/>
          <w:szCs w:val="24"/>
        </w:rPr>
        <w:t xml:space="preserve">Ensure the engineer is Gas Safe registered and appropriately qualified for the type of work you need doing. </w:t>
      </w:r>
    </w:p>
    <w:p w:rsidRPr="0038540D" w:rsidR="0038540D" w:rsidP="1FB21D4A" w:rsidRDefault="00B702B7" w14:paraId="6781FA89" w14:textId="6BC46096">
      <w:pPr>
        <w:pStyle w:val="Normal"/>
        <w:jc w:val="both"/>
        <w:rPr>
          <w:rFonts w:ascii="Work Sans" w:hAnsi="Work Sans" w:cs="Arial"/>
          <w:sz w:val="24"/>
          <w:szCs w:val="24"/>
        </w:rPr>
      </w:pPr>
      <w:r w:rsidRPr="1FB21D4A" w:rsidR="1FB21D4A">
        <w:rPr>
          <w:rFonts w:ascii="Work Sans" w:hAnsi="Work Sans" w:cs="Arial"/>
          <w:sz w:val="24"/>
          <w:szCs w:val="24"/>
        </w:rPr>
        <w:t xml:space="preserve">Not all Gas Safe registered engineers can work on all types of gas or appliances. The onus is on you to ensure that the engineer is qualified to work on your gas supply, as well as the type of gas appliances you have. </w:t>
      </w:r>
    </w:p>
    <w:p w:rsidRPr="0038540D" w:rsidR="0038540D" w:rsidP="0038540D" w:rsidRDefault="0038540D" w14:paraId="0075497E" w14:textId="77777777">
      <w:pPr>
        <w:pStyle w:val="ListParagraph"/>
        <w:rPr>
          <w:rFonts w:ascii="Work Sans" w:hAnsi="Work Sans" w:cs="Arial"/>
          <w:bCs/>
          <w:sz w:val="24"/>
          <w:szCs w:val="24"/>
        </w:rPr>
      </w:pPr>
    </w:p>
    <w:p w:rsidRPr="00465C3C" w:rsidR="00601985" w:rsidP="0038540D" w:rsidRDefault="00601985" w14:paraId="44420574" w14:textId="50765AB0">
      <w:pPr>
        <w:pStyle w:val="ListParagraph"/>
        <w:jc w:val="both"/>
        <w:rPr>
          <w:rFonts w:ascii="Work Sans" w:hAnsi="Work Sans" w:cs="Arial"/>
          <w:sz w:val="24"/>
          <w:szCs w:val="24"/>
        </w:rPr>
      </w:pPr>
      <w:r w:rsidRPr="00465C3C">
        <w:rPr>
          <w:rFonts w:ascii="Work Sans" w:hAnsi="Work Sans" w:cs="Arial"/>
          <w:bCs/>
          <w:sz w:val="24"/>
          <w:szCs w:val="24"/>
        </w:rPr>
        <w:t>For example:</w:t>
      </w:r>
      <w:r w:rsidRPr="00465C3C" w:rsidR="00E55336">
        <w:rPr>
          <w:rFonts w:ascii="Work Sans" w:hAnsi="Work Sans" w:cs="Arial"/>
          <w:bCs/>
          <w:sz w:val="24"/>
          <w:szCs w:val="24"/>
        </w:rPr>
        <w:t xml:space="preserve"> </w:t>
      </w:r>
    </w:p>
    <w:tbl>
      <w:tblPr>
        <w:tblStyle w:val="TableGrid"/>
        <w:tblW w:w="0" w:type="auto"/>
        <w:tblInd w:w="720" w:type="dxa"/>
        <w:tblLook w:val="04A0" w:firstRow="1" w:lastRow="0" w:firstColumn="1" w:lastColumn="0" w:noHBand="0" w:noVBand="1"/>
      </w:tblPr>
      <w:tblGrid>
        <w:gridCol w:w="4141"/>
        <w:gridCol w:w="4155"/>
      </w:tblGrid>
      <w:tr w:rsidRPr="00465C3C" w:rsidR="00F54FE3" w:rsidTr="30DB2174" w14:paraId="282ADA2C" w14:textId="77777777">
        <w:tc>
          <w:tcPr>
            <w:tcW w:w="4508" w:type="dxa"/>
          </w:tcPr>
          <w:p w:rsidR="00601985" w:rsidP="007047F4" w:rsidRDefault="00601985" w14:paraId="33D80FC1" w14:textId="10B1EEA4">
            <w:pPr>
              <w:spacing w:after="200" w:line="276" w:lineRule="auto"/>
              <w:rPr>
                <w:rFonts w:ascii="Work Sans" w:hAnsi="Work Sans" w:cs="Arial"/>
                <w:bCs/>
                <w:i/>
                <w:sz w:val="24"/>
                <w:szCs w:val="24"/>
              </w:rPr>
            </w:pPr>
            <w:r w:rsidRPr="00465C3C">
              <w:rPr>
                <w:rFonts w:ascii="Work Sans" w:hAnsi="Work Sans" w:cs="Arial"/>
                <w:bCs/>
                <w:i/>
                <w:sz w:val="24"/>
                <w:szCs w:val="24"/>
              </w:rPr>
              <w:t>In a fish and chip shop</w:t>
            </w:r>
            <w:r w:rsidR="00BF53D6">
              <w:rPr>
                <w:rFonts w:ascii="Work Sans" w:hAnsi="Work Sans" w:cs="Arial"/>
                <w:bCs/>
                <w:i/>
                <w:sz w:val="24"/>
                <w:szCs w:val="24"/>
              </w:rPr>
              <w:t>,</w:t>
            </w:r>
            <w:r w:rsidRPr="00465C3C">
              <w:rPr>
                <w:rFonts w:ascii="Work Sans" w:hAnsi="Work Sans" w:cs="Arial"/>
                <w:bCs/>
                <w:i/>
                <w:sz w:val="24"/>
                <w:szCs w:val="24"/>
              </w:rPr>
              <w:t xml:space="preserve"> the engineer must be qualified to work on:</w:t>
            </w:r>
          </w:p>
          <w:p w:rsidRPr="00465C3C" w:rsidR="00601985" w:rsidP="007047F4" w:rsidRDefault="00601985" w14:paraId="02E12613" w14:textId="500FF726">
            <w:pPr>
              <w:pStyle w:val="ListParagraph"/>
              <w:numPr>
                <w:ilvl w:val="0"/>
                <w:numId w:val="5"/>
              </w:numPr>
              <w:spacing w:after="200" w:line="276" w:lineRule="auto"/>
              <w:ind w:left="585" w:hanging="284"/>
              <w:jc w:val="both"/>
              <w:rPr>
                <w:rFonts w:ascii="Work Sans" w:hAnsi="Work Sans" w:cs="Arial"/>
                <w:i/>
                <w:sz w:val="24"/>
                <w:szCs w:val="24"/>
              </w:rPr>
            </w:pPr>
            <w:r w:rsidRPr="00465C3C">
              <w:rPr>
                <w:rFonts w:ascii="Work Sans" w:hAnsi="Work Sans" w:cs="Arial"/>
                <w:i/>
                <w:sz w:val="24"/>
                <w:szCs w:val="24"/>
              </w:rPr>
              <w:t>Natural gas</w:t>
            </w:r>
            <w:r w:rsidRPr="00465C3C" w:rsidR="00253527">
              <w:rPr>
                <w:rFonts w:ascii="Work Sans" w:hAnsi="Work Sans" w:cs="Arial"/>
                <w:i/>
                <w:sz w:val="24"/>
                <w:szCs w:val="24"/>
              </w:rPr>
              <w:t>/LPG</w:t>
            </w:r>
            <w:r w:rsidR="00111C4E">
              <w:rPr>
                <w:rFonts w:ascii="Work Sans" w:hAnsi="Work Sans" w:cs="Arial"/>
                <w:i/>
                <w:sz w:val="24"/>
                <w:szCs w:val="24"/>
              </w:rPr>
              <w:t xml:space="preserve"> [depending on your supply]</w:t>
            </w:r>
          </w:p>
          <w:p w:rsidRPr="00465C3C" w:rsidR="00601985" w:rsidP="007047F4" w:rsidRDefault="00601985" w14:paraId="127E5AE8" w14:textId="77777777">
            <w:pPr>
              <w:pStyle w:val="ListParagraph"/>
              <w:numPr>
                <w:ilvl w:val="0"/>
                <w:numId w:val="5"/>
              </w:numPr>
              <w:spacing w:after="200" w:line="276" w:lineRule="auto"/>
              <w:ind w:left="585" w:hanging="284"/>
              <w:jc w:val="both"/>
              <w:rPr>
                <w:rFonts w:ascii="Work Sans" w:hAnsi="Work Sans" w:cs="Arial"/>
                <w:i/>
                <w:sz w:val="24"/>
                <w:szCs w:val="24"/>
              </w:rPr>
            </w:pPr>
            <w:r w:rsidRPr="00465C3C">
              <w:rPr>
                <w:rFonts w:ascii="Work Sans" w:hAnsi="Work Sans" w:cs="Arial"/>
                <w:i/>
                <w:sz w:val="24"/>
                <w:szCs w:val="24"/>
              </w:rPr>
              <w:t>Catering</w:t>
            </w:r>
          </w:p>
          <w:p w:rsidRPr="00465C3C" w:rsidR="00601985" w:rsidP="007047F4" w:rsidRDefault="00601985" w14:paraId="14722C03" w14:textId="77777777">
            <w:pPr>
              <w:pStyle w:val="ListParagraph"/>
              <w:numPr>
                <w:ilvl w:val="0"/>
                <w:numId w:val="5"/>
              </w:numPr>
              <w:spacing w:after="200" w:line="276" w:lineRule="auto"/>
              <w:ind w:left="585" w:hanging="284"/>
              <w:jc w:val="both"/>
              <w:rPr>
                <w:rFonts w:ascii="Work Sans" w:hAnsi="Work Sans" w:cs="Arial"/>
                <w:i/>
                <w:sz w:val="24"/>
                <w:szCs w:val="24"/>
              </w:rPr>
            </w:pPr>
            <w:r w:rsidRPr="00465C3C">
              <w:rPr>
                <w:rFonts w:ascii="Work Sans" w:hAnsi="Work Sans" w:cs="Arial"/>
                <w:i/>
                <w:sz w:val="24"/>
                <w:szCs w:val="24"/>
              </w:rPr>
              <w:t xml:space="preserve">Fish and chip range </w:t>
            </w:r>
          </w:p>
          <w:p w:rsidRPr="00465C3C" w:rsidR="00601985" w:rsidP="007047F4" w:rsidRDefault="00601985" w14:paraId="7B0F1C45" w14:textId="77777777">
            <w:pPr>
              <w:pStyle w:val="ListParagraph"/>
              <w:spacing w:after="200" w:line="276" w:lineRule="auto"/>
              <w:ind w:left="0"/>
              <w:jc w:val="both"/>
              <w:rPr>
                <w:rFonts w:ascii="Work Sans" w:hAnsi="Work Sans" w:cs="Arial"/>
                <w:sz w:val="24"/>
                <w:szCs w:val="24"/>
              </w:rPr>
            </w:pPr>
          </w:p>
        </w:tc>
        <w:tc>
          <w:tcPr>
            <w:tcW w:w="4508" w:type="dxa"/>
          </w:tcPr>
          <w:p w:rsidR="00601985" w:rsidP="007047F4" w:rsidRDefault="00601985" w14:paraId="0DBC7137" w14:textId="0E2B2A1E">
            <w:pPr>
              <w:pStyle w:val="ListParagraph"/>
              <w:spacing w:after="200" w:line="276" w:lineRule="auto"/>
              <w:ind w:left="0"/>
              <w:rPr>
                <w:rFonts w:ascii="Work Sans" w:hAnsi="Work Sans" w:cs="Arial"/>
                <w:i/>
                <w:sz w:val="24"/>
                <w:szCs w:val="24"/>
              </w:rPr>
            </w:pPr>
            <w:r w:rsidRPr="00465C3C">
              <w:rPr>
                <w:rFonts w:ascii="Work Sans" w:hAnsi="Work Sans" w:cs="Arial"/>
                <w:i/>
                <w:sz w:val="24"/>
                <w:szCs w:val="24"/>
              </w:rPr>
              <w:t xml:space="preserve">In a mobile catering </w:t>
            </w:r>
            <w:r w:rsidRPr="00465C3C" w:rsidR="00BF53D6">
              <w:rPr>
                <w:rFonts w:ascii="Work Sans" w:hAnsi="Work Sans" w:cs="Arial"/>
                <w:i/>
                <w:sz w:val="24"/>
                <w:szCs w:val="24"/>
              </w:rPr>
              <w:t>vehicle,</w:t>
            </w:r>
            <w:r w:rsidRPr="00465C3C">
              <w:rPr>
                <w:rFonts w:ascii="Work Sans" w:hAnsi="Work Sans" w:cs="Arial"/>
                <w:i/>
                <w:sz w:val="24"/>
                <w:szCs w:val="24"/>
              </w:rPr>
              <w:t xml:space="preserve"> the engineer must be qualified</w:t>
            </w:r>
            <w:r w:rsidR="00BF53D6">
              <w:rPr>
                <w:rFonts w:ascii="Work Sans" w:hAnsi="Work Sans" w:cs="Arial"/>
                <w:i/>
                <w:sz w:val="24"/>
                <w:szCs w:val="24"/>
              </w:rPr>
              <w:t xml:space="preserve"> </w:t>
            </w:r>
            <w:r w:rsidRPr="00465C3C">
              <w:rPr>
                <w:rFonts w:ascii="Work Sans" w:hAnsi="Work Sans" w:cs="Arial"/>
                <w:i/>
                <w:sz w:val="24"/>
                <w:szCs w:val="24"/>
              </w:rPr>
              <w:t>to work on:</w:t>
            </w:r>
          </w:p>
          <w:p w:rsidRPr="00465C3C" w:rsidR="00BF53D6" w:rsidP="007047F4" w:rsidRDefault="00BF53D6" w14:paraId="21F16AD7" w14:textId="77777777">
            <w:pPr>
              <w:pStyle w:val="ListParagraph"/>
              <w:spacing w:after="200" w:line="276" w:lineRule="auto"/>
              <w:ind w:left="0"/>
              <w:rPr>
                <w:rFonts w:ascii="Work Sans" w:hAnsi="Work Sans" w:cs="Arial"/>
                <w:i/>
                <w:sz w:val="24"/>
                <w:szCs w:val="24"/>
              </w:rPr>
            </w:pPr>
          </w:p>
          <w:p w:rsidRPr="00465C3C" w:rsidR="00601985" w:rsidP="007047F4" w:rsidRDefault="00601985" w14:paraId="114FFF0F" w14:textId="77777777">
            <w:pPr>
              <w:pStyle w:val="ListParagraph"/>
              <w:numPr>
                <w:ilvl w:val="0"/>
                <w:numId w:val="5"/>
              </w:numPr>
              <w:spacing w:after="200" w:line="276" w:lineRule="auto"/>
              <w:ind w:left="585" w:hanging="284"/>
              <w:rPr>
                <w:rFonts w:ascii="Work Sans" w:hAnsi="Work Sans" w:cs="Arial"/>
                <w:i/>
                <w:iCs/>
                <w:sz w:val="24"/>
                <w:szCs w:val="24"/>
              </w:rPr>
            </w:pPr>
            <w:r w:rsidRPr="30DB2174">
              <w:rPr>
                <w:rFonts w:ascii="Work Sans" w:hAnsi="Work Sans" w:cs="Arial"/>
                <w:i/>
                <w:iCs/>
                <w:sz w:val="24"/>
                <w:szCs w:val="24"/>
              </w:rPr>
              <w:t>LPG</w:t>
            </w:r>
          </w:p>
          <w:p w:rsidRPr="00465C3C" w:rsidR="00601985" w:rsidP="007047F4" w:rsidRDefault="00601985" w14:paraId="44F89F24" w14:textId="77777777">
            <w:pPr>
              <w:pStyle w:val="ListParagraph"/>
              <w:numPr>
                <w:ilvl w:val="0"/>
                <w:numId w:val="5"/>
              </w:numPr>
              <w:spacing w:after="200" w:line="276" w:lineRule="auto"/>
              <w:ind w:left="585" w:hanging="284"/>
              <w:rPr>
                <w:rFonts w:ascii="Work Sans" w:hAnsi="Work Sans" w:cs="Arial"/>
                <w:i/>
                <w:iCs/>
                <w:sz w:val="24"/>
                <w:szCs w:val="24"/>
              </w:rPr>
            </w:pPr>
            <w:r w:rsidRPr="30DB2174">
              <w:rPr>
                <w:rFonts w:ascii="Work Sans" w:hAnsi="Work Sans" w:cs="Arial"/>
                <w:i/>
                <w:iCs/>
                <w:sz w:val="24"/>
                <w:szCs w:val="24"/>
              </w:rPr>
              <w:t>Commercial mobile catering</w:t>
            </w:r>
          </w:p>
          <w:p w:rsidRPr="00465C3C" w:rsidR="00601985" w:rsidP="007047F4" w:rsidRDefault="5E0B7D42" w14:paraId="10FE06DE" w14:textId="77777777">
            <w:pPr>
              <w:pStyle w:val="ListParagraph"/>
              <w:numPr>
                <w:ilvl w:val="0"/>
                <w:numId w:val="5"/>
              </w:numPr>
              <w:spacing w:after="200" w:line="276" w:lineRule="auto"/>
              <w:ind w:left="585" w:hanging="284"/>
              <w:rPr>
                <w:rFonts w:ascii="Work Sans" w:hAnsi="Work Sans" w:cs="Arial"/>
                <w:i/>
                <w:iCs/>
                <w:sz w:val="24"/>
                <w:szCs w:val="24"/>
              </w:rPr>
            </w:pPr>
            <w:r w:rsidRPr="30DB2174">
              <w:rPr>
                <w:rFonts w:ascii="Work Sans" w:hAnsi="Work Sans" w:cs="Arial"/>
                <w:i/>
                <w:iCs/>
                <w:sz w:val="24"/>
                <w:szCs w:val="24"/>
              </w:rPr>
              <w:t>[the appliance type] - for example, c</w:t>
            </w:r>
            <w:r w:rsidRPr="30DB2174" w:rsidR="00601985">
              <w:rPr>
                <w:rFonts w:ascii="Work Sans" w:hAnsi="Work Sans" w:cs="Arial"/>
                <w:i/>
                <w:iCs/>
                <w:sz w:val="24"/>
                <w:szCs w:val="24"/>
              </w:rPr>
              <w:t>ommer</w:t>
            </w:r>
            <w:r w:rsidRPr="30DB2174">
              <w:rPr>
                <w:rFonts w:ascii="Work Sans" w:hAnsi="Work Sans" w:cs="Arial"/>
                <w:i/>
                <w:iCs/>
                <w:sz w:val="24"/>
                <w:szCs w:val="24"/>
              </w:rPr>
              <w:t>cial catering range cookers LPG</w:t>
            </w:r>
          </w:p>
          <w:p w:rsidRPr="00465C3C" w:rsidR="00601985" w:rsidP="007047F4" w:rsidRDefault="00601985" w14:paraId="7C5A1D81" w14:textId="77777777">
            <w:pPr>
              <w:spacing w:after="200" w:line="276" w:lineRule="auto"/>
              <w:jc w:val="both"/>
              <w:rPr>
                <w:rFonts w:ascii="Work Sans" w:hAnsi="Work Sans" w:cs="Arial"/>
                <w:i/>
                <w:sz w:val="24"/>
                <w:szCs w:val="24"/>
              </w:rPr>
            </w:pPr>
          </w:p>
        </w:tc>
      </w:tr>
    </w:tbl>
    <w:p w:rsidR="00601985" w:rsidP="007047F4" w:rsidRDefault="00601985" w14:paraId="0F008AA7" w14:textId="77777777">
      <w:pPr>
        <w:pStyle w:val="ListParagraph"/>
        <w:jc w:val="both"/>
        <w:rPr>
          <w:rFonts w:ascii="Work Sans" w:hAnsi="Work Sans" w:cs="Arial"/>
          <w:sz w:val="24"/>
          <w:szCs w:val="24"/>
        </w:rPr>
      </w:pPr>
    </w:p>
    <w:p w:rsidRPr="00465C3C" w:rsidR="004E531C" w:rsidP="007047F4" w:rsidRDefault="00753094" w14:paraId="171A5E8F" w14:textId="3EB1DE33">
      <w:pPr>
        <w:rPr>
          <w:rFonts w:ascii="Work Sans" w:hAnsi="Work Sans" w:cs="Arial"/>
          <w:bCs/>
          <w:sz w:val="24"/>
          <w:szCs w:val="24"/>
        </w:rPr>
      </w:pPr>
      <w:r w:rsidRPr="00465C3C">
        <w:rPr>
          <w:rFonts w:ascii="Work Sans" w:hAnsi="Work Sans" w:cs="Arial"/>
          <w:bCs/>
          <w:sz w:val="24"/>
          <w:szCs w:val="24"/>
        </w:rPr>
        <w:t>You can find or check a Gas Safe registered engineer</w:t>
      </w:r>
      <w:r w:rsidRPr="00465C3C" w:rsidR="000A0B5A">
        <w:rPr>
          <w:rFonts w:ascii="Work Sans" w:hAnsi="Work Sans" w:cs="Arial"/>
          <w:bCs/>
          <w:sz w:val="24"/>
          <w:szCs w:val="24"/>
        </w:rPr>
        <w:t xml:space="preserve"> in your area</w:t>
      </w:r>
      <w:r w:rsidRPr="00465C3C">
        <w:rPr>
          <w:rFonts w:ascii="Work Sans" w:hAnsi="Work Sans" w:cs="Arial"/>
          <w:bCs/>
          <w:sz w:val="24"/>
          <w:szCs w:val="24"/>
        </w:rPr>
        <w:t xml:space="preserve"> </w:t>
      </w:r>
      <w:r w:rsidRPr="00465C3C" w:rsidR="00301FA1">
        <w:rPr>
          <w:rFonts w:ascii="Work Sans" w:hAnsi="Work Sans" w:cs="Arial"/>
          <w:bCs/>
          <w:sz w:val="24"/>
          <w:szCs w:val="24"/>
        </w:rPr>
        <w:t xml:space="preserve">and </w:t>
      </w:r>
      <w:r w:rsidRPr="00465C3C" w:rsidR="000A0B5A">
        <w:rPr>
          <w:rFonts w:ascii="Work Sans" w:hAnsi="Work Sans" w:cs="Arial"/>
          <w:bCs/>
          <w:sz w:val="24"/>
          <w:szCs w:val="24"/>
        </w:rPr>
        <w:t xml:space="preserve">check </w:t>
      </w:r>
      <w:r w:rsidRPr="00465C3C" w:rsidR="00301FA1">
        <w:rPr>
          <w:rFonts w:ascii="Work Sans" w:hAnsi="Work Sans" w:cs="Arial"/>
          <w:bCs/>
          <w:sz w:val="24"/>
          <w:szCs w:val="24"/>
        </w:rPr>
        <w:t>their qualifications</w:t>
      </w:r>
      <w:r w:rsidRPr="00465C3C">
        <w:rPr>
          <w:rFonts w:ascii="Work Sans" w:hAnsi="Work Sans" w:cs="Arial"/>
          <w:bCs/>
          <w:sz w:val="24"/>
          <w:szCs w:val="24"/>
        </w:rPr>
        <w:t xml:space="preserve"> at </w:t>
      </w:r>
      <w:hyperlink w:history="1" r:id="rId12">
        <w:r w:rsidRPr="00465C3C">
          <w:rPr>
            <w:rStyle w:val="Hyperlink"/>
            <w:rFonts w:ascii="Work Sans" w:hAnsi="Work Sans" w:cs="Arial"/>
            <w:b/>
            <w:bCs/>
            <w:sz w:val="24"/>
            <w:szCs w:val="24"/>
          </w:rPr>
          <w:t>GasSafeRegi</w:t>
        </w:r>
        <w:r w:rsidRPr="00465C3C" w:rsidR="00003641">
          <w:rPr>
            <w:rStyle w:val="Hyperlink"/>
            <w:rFonts w:ascii="Work Sans" w:hAnsi="Work Sans" w:cs="Arial"/>
            <w:b/>
            <w:bCs/>
            <w:sz w:val="24"/>
            <w:szCs w:val="24"/>
          </w:rPr>
          <w:t>s</w:t>
        </w:r>
        <w:r w:rsidRPr="00465C3C">
          <w:rPr>
            <w:rStyle w:val="Hyperlink"/>
            <w:rFonts w:ascii="Work Sans" w:hAnsi="Work Sans" w:cs="Arial"/>
            <w:b/>
            <w:bCs/>
            <w:sz w:val="24"/>
            <w:szCs w:val="24"/>
          </w:rPr>
          <w:t>ter.co.uk</w:t>
        </w:r>
      </w:hyperlink>
      <w:r w:rsidRPr="00465C3C">
        <w:rPr>
          <w:rFonts w:ascii="Work Sans" w:hAnsi="Work Sans" w:cs="Arial"/>
          <w:bCs/>
          <w:sz w:val="24"/>
          <w:szCs w:val="24"/>
        </w:rPr>
        <w:t>.</w:t>
      </w:r>
    </w:p>
    <w:sectPr w:rsidRPr="00465C3C" w:rsidR="004E531C" w:rsidSect="003D2043">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022" w:rsidP="007E5D80" w:rsidRDefault="00B77022" w14:paraId="179A19FB" w14:textId="77777777">
      <w:pPr>
        <w:spacing w:after="0" w:line="240" w:lineRule="auto"/>
      </w:pPr>
      <w:r>
        <w:separator/>
      </w:r>
    </w:p>
  </w:endnote>
  <w:endnote w:type="continuationSeparator" w:id="0">
    <w:p w:rsidR="00B77022" w:rsidP="007E5D80" w:rsidRDefault="00B77022" w14:paraId="690D47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022" w:rsidP="007E5D80" w:rsidRDefault="00B77022" w14:paraId="259AD2D3" w14:textId="77777777">
      <w:pPr>
        <w:spacing w:after="0" w:line="240" w:lineRule="auto"/>
      </w:pPr>
      <w:r>
        <w:separator/>
      </w:r>
    </w:p>
  </w:footnote>
  <w:footnote w:type="continuationSeparator" w:id="0">
    <w:p w:rsidR="00B77022" w:rsidP="007E5D80" w:rsidRDefault="00B77022" w14:paraId="107A697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A49"/>
    <w:multiLevelType w:val="hybridMultilevel"/>
    <w:tmpl w:val="3ABC99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CF27997"/>
    <w:multiLevelType w:val="hybridMultilevel"/>
    <w:tmpl w:val="598CBF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890FF8"/>
    <w:multiLevelType w:val="hybridMultilevel"/>
    <w:tmpl w:val="58400A26"/>
    <w:lvl w:ilvl="0" w:tplc="1310D54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16A1D8A"/>
    <w:multiLevelType w:val="multilevel"/>
    <w:tmpl w:val="C4544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B8800B6"/>
    <w:multiLevelType w:val="hybridMultilevel"/>
    <w:tmpl w:val="460E0590"/>
    <w:lvl w:ilvl="0" w:tplc="BA387358">
      <w:start w:val="1"/>
      <w:numFmt w:val="bullet"/>
      <w:lvlText w:val=""/>
      <w:lvlJc w:val="left"/>
      <w:pPr>
        <w:ind w:left="720" w:hanging="360"/>
      </w:pPr>
      <w:rPr>
        <w:rFonts w:hint="default" w:ascii="Wingdings" w:hAnsi="Wingdings"/>
      </w:rPr>
    </w:lvl>
    <w:lvl w:ilvl="1" w:tplc="86B40FA8">
      <w:start w:val="1"/>
      <w:numFmt w:val="bullet"/>
      <w:lvlText w:val="o"/>
      <w:lvlJc w:val="left"/>
      <w:pPr>
        <w:ind w:left="1440" w:hanging="360"/>
      </w:pPr>
      <w:rPr>
        <w:rFonts w:hint="default" w:ascii="Courier New" w:hAnsi="Courier New"/>
      </w:rPr>
    </w:lvl>
    <w:lvl w:ilvl="2" w:tplc="EA767040">
      <w:start w:val="1"/>
      <w:numFmt w:val="bullet"/>
      <w:lvlText w:val=""/>
      <w:lvlJc w:val="left"/>
      <w:pPr>
        <w:ind w:left="2160" w:hanging="360"/>
      </w:pPr>
      <w:rPr>
        <w:rFonts w:hint="default" w:ascii="Wingdings" w:hAnsi="Wingdings"/>
      </w:rPr>
    </w:lvl>
    <w:lvl w:ilvl="3" w:tplc="E5AA3378">
      <w:start w:val="1"/>
      <w:numFmt w:val="bullet"/>
      <w:lvlText w:val=""/>
      <w:lvlJc w:val="left"/>
      <w:pPr>
        <w:ind w:left="2880" w:hanging="360"/>
      </w:pPr>
      <w:rPr>
        <w:rFonts w:hint="default" w:ascii="Symbol" w:hAnsi="Symbol"/>
      </w:rPr>
    </w:lvl>
    <w:lvl w:ilvl="4" w:tplc="F36065C2">
      <w:start w:val="1"/>
      <w:numFmt w:val="bullet"/>
      <w:lvlText w:val="o"/>
      <w:lvlJc w:val="left"/>
      <w:pPr>
        <w:ind w:left="3600" w:hanging="360"/>
      </w:pPr>
      <w:rPr>
        <w:rFonts w:hint="default" w:ascii="Courier New" w:hAnsi="Courier New"/>
      </w:rPr>
    </w:lvl>
    <w:lvl w:ilvl="5" w:tplc="2BA2759A">
      <w:start w:val="1"/>
      <w:numFmt w:val="bullet"/>
      <w:lvlText w:val=""/>
      <w:lvlJc w:val="left"/>
      <w:pPr>
        <w:ind w:left="4320" w:hanging="360"/>
      </w:pPr>
      <w:rPr>
        <w:rFonts w:hint="default" w:ascii="Wingdings" w:hAnsi="Wingdings"/>
      </w:rPr>
    </w:lvl>
    <w:lvl w:ilvl="6" w:tplc="FC74B0A2">
      <w:start w:val="1"/>
      <w:numFmt w:val="bullet"/>
      <w:lvlText w:val=""/>
      <w:lvlJc w:val="left"/>
      <w:pPr>
        <w:ind w:left="5040" w:hanging="360"/>
      </w:pPr>
      <w:rPr>
        <w:rFonts w:hint="default" w:ascii="Symbol" w:hAnsi="Symbol"/>
      </w:rPr>
    </w:lvl>
    <w:lvl w:ilvl="7" w:tplc="E0CEFADC">
      <w:start w:val="1"/>
      <w:numFmt w:val="bullet"/>
      <w:lvlText w:val="o"/>
      <w:lvlJc w:val="left"/>
      <w:pPr>
        <w:ind w:left="5760" w:hanging="360"/>
      </w:pPr>
      <w:rPr>
        <w:rFonts w:hint="default" w:ascii="Courier New" w:hAnsi="Courier New"/>
      </w:rPr>
    </w:lvl>
    <w:lvl w:ilvl="8" w:tplc="8B4EB952">
      <w:start w:val="1"/>
      <w:numFmt w:val="bullet"/>
      <w:lvlText w:val=""/>
      <w:lvlJc w:val="left"/>
      <w:pPr>
        <w:ind w:left="6480" w:hanging="360"/>
      </w:pPr>
      <w:rPr>
        <w:rFonts w:hint="default" w:ascii="Wingdings" w:hAnsi="Wingdings"/>
      </w:rPr>
    </w:lvl>
  </w:abstractNum>
  <w:abstractNum w:abstractNumId="5" w15:restartNumberingAfterBreak="0">
    <w:nsid w:val="6ED230EA"/>
    <w:multiLevelType w:val="hybridMultilevel"/>
    <w:tmpl w:val="5A2A9636"/>
    <w:lvl w:ilvl="0" w:tplc="04090001">
      <w:start w:val="1"/>
      <w:numFmt w:val="bullet"/>
      <w:lvlText w:val=""/>
      <w:lvlJc w:val="left"/>
      <w:pPr>
        <w:ind w:left="1559" w:hanging="360"/>
      </w:pPr>
      <w:rPr>
        <w:rFonts w:hint="default" w:ascii="Symbol" w:hAnsi="Symbol"/>
      </w:rPr>
    </w:lvl>
    <w:lvl w:ilvl="1" w:tplc="04090003" w:tentative="1">
      <w:start w:val="1"/>
      <w:numFmt w:val="bullet"/>
      <w:lvlText w:val="o"/>
      <w:lvlJc w:val="left"/>
      <w:pPr>
        <w:ind w:left="2279" w:hanging="360"/>
      </w:pPr>
      <w:rPr>
        <w:rFonts w:hint="default" w:ascii="Courier New" w:hAnsi="Courier New" w:cs="Courier New"/>
      </w:rPr>
    </w:lvl>
    <w:lvl w:ilvl="2" w:tplc="04090005" w:tentative="1">
      <w:start w:val="1"/>
      <w:numFmt w:val="bullet"/>
      <w:lvlText w:val=""/>
      <w:lvlJc w:val="left"/>
      <w:pPr>
        <w:ind w:left="2999" w:hanging="360"/>
      </w:pPr>
      <w:rPr>
        <w:rFonts w:hint="default" w:ascii="Wingdings" w:hAnsi="Wingdings"/>
      </w:rPr>
    </w:lvl>
    <w:lvl w:ilvl="3" w:tplc="04090001" w:tentative="1">
      <w:start w:val="1"/>
      <w:numFmt w:val="bullet"/>
      <w:lvlText w:val=""/>
      <w:lvlJc w:val="left"/>
      <w:pPr>
        <w:ind w:left="3719" w:hanging="360"/>
      </w:pPr>
      <w:rPr>
        <w:rFonts w:hint="default" w:ascii="Symbol" w:hAnsi="Symbol"/>
      </w:rPr>
    </w:lvl>
    <w:lvl w:ilvl="4" w:tplc="04090003" w:tentative="1">
      <w:start w:val="1"/>
      <w:numFmt w:val="bullet"/>
      <w:lvlText w:val="o"/>
      <w:lvlJc w:val="left"/>
      <w:pPr>
        <w:ind w:left="4439" w:hanging="360"/>
      </w:pPr>
      <w:rPr>
        <w:rFonts w:hint="default" w:ascii="Courier New" w:hAnsi="Courier New" w:cs="Courier New"/>
      </w:rPr>
    </w:lvl>
    <w:lvl w:ilvl="5" w:tplc="04090005" w:tentative="1">
      <w:start w:val="1"/>
      <w:numFmt w:val="bullet"/>
      <w:lvlText w:val=""/>
      <w:lvlJc w:val="left"/>
      <w:pPr>
        <w:ind w:left="5159" w:hanging="360"/>
      </w:pPr>
      <w:rPr>
        <w:rFonts w:hint="default" w:ascii="Wingdings" w:hAnsi="Wingdings"/>
      </w:rPr>
    </w:lvl>
    <w:lvl w:ilvl="6" w:tplc="04090001" w:tentative="1">
      <w:start w:val="1"/>
      <w:numFmt w:val="bullet"/>
      <w:lvlText w:val=""/>
      <w:lvlJc w:val="left"/>
      <w:pPr>
        <w:ind w:left="5879" w:hanging="360"/>
      </w:pPr>
      <w:rPr>
        <w:rFonts w:hint="default" w:ascii="Symbol" w:hAnsi="Symbol"/>
      </w:rPr>
    </w:lvl>
    <w:lvl w:ilvl="7" w:tplc="04090003" w:tentative="1">
      <w:start w:val="1"/>
      <w:numFmt w:val="bullet"/>
      <w:lvlText w:val="o"/>
      <w:lvlJc w:val="left"/>
      <w:pPr>
        <w:ind w:left="6599" w:hanging="360"/>
      </w:pPr>
      <w:rPr>
        <w:rFonts w:hint="default" w:ascii="Courier New" w:hAnsi="Courier New" w:cs="Courier New"/>
      </w:rPr>
    </w:lvl>
    <w:lvl w:ilvl="8" w:tplc="04090005" w:tentative="1">
      <w:start w:val="1"/>
      <w:numFmt w:val="bullet"/>
      <w:lvlText w:val=""/>
      <w:lvlJc w:val="left"/>
      <w:pPr>
        <w:ind w:left="7319" w:hanging="360"/>
      </w:pPr>
      <w:rPr>
        <w:rFonts w:hint="default" w:ascii="Wingdings" w:hAnsi="Wingdings"/>
      </w:rPr>
    </w:lvl>
  </w:abstractNum>
  <w:num w:numId="1" w16cid:durableId="1965306271">
    <w:abstractNumId w:val="4"/>
  </w:num>
  <w:num w:numId="2" w16cid:durableId="1945526917">
    <w:abstractNumId w:val="3"/>
  </w:num>
  <w:num w:numId="3" w16cid:durableId="248927582">
    <w:abstractNumId w:val="2"/>
  </w:num>
  <w:num w:numId="4" w16cid:durableId="1515537229">
    <w:abstractNumId w:val="1"/>
  </w:num>
  <w:num w:numId="5" w16cid:durableId="799495019">
    <w:abstractNumId w:val="5"/>
  </w:num>
  <w:num w:numId="6" w16cid:durableId="117514428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0A"/>
    <w:rsid w:val="000016F8"/>
    <w:rsid w:val="00003641"/>
    <w:rsid w:val="000146F8"/>
    <w:rsid w:val="00020F22"/>
    <w:rsid w:val="00022352"/>
    <w:rsid w:val="00026BE6"/>
    <w:rsid w:val="000425D5"/>
    <w:rsid w:val="00045403"/>
    <w:rsid w:val="0005474B"/>
    <w:rsid w:val="00057CFB"/>
    <w:rsid w:val="00066E74"/>
    <w:rsid w:val="000A0B5A"/>
    <w:rsid w:val="000A3B89"/>
    <w:rsid w:val="000B0F93"/>
    <w:rsid w:val="000B3295"/>
    <w:rsid w:val="000B5EEB"/>
    <w:rsid w:val="000C285B"/>
    <w:rsid w:val="000E6FBD"/>
    <w:rsid w:val="000F778C"/>
    <w:rsid w:val="001050F1"/>
    <w:rsid w:val="001108F1"/>
    <w:rsid w:val="00110917"/>
    <w:rsid w:val="00111C4E"/>
    <w:rsid w:val="00120206"/>
    <w:rsid w:val="00122E58"/>
    <w:rsid w:val="00125FCC"/>
    <w:rsid w:val="00137B96"/>
    <w:rsid w:val="001541AC"/>
    <w:rsid w:val="00164D65"/>
    <w:rsid w:val="001734A5"/>
    <w:rsid w:val="001903FF"/>
    <w:rsid w:val="001B4BCA"/>
    <w:rsid w:val="001D6F61"/>
    <w:rsid w:val="001E185C"/>
    <w:rsid w:val="001E3004"/>
    <w:rsid w:val="001E3D93"/>
    <w:rsid w:val="002221B8"/>
    <w:rsid w:val="0023304F"/>
    <w:rsid w:val="00233739"/>
    <w:rsid w:val="00253527"/>
    <w:rsid w:val="00276DC0"/>
    <w:rsid w:val="00281EC7"/>
    <w:rsid w:val="002A5686"/>
    <w:rsid w:val="002B170E"/>
    <w:rsid w:val="002B39E0"/>
    <w:rsid w:val="002D116F"/>
    <w:rsid w:val="00301FA1"/>
    <w:rsid w:val="00304A1E"/>
    <w:rsid w:val="00305AC6"/>
    <w:rsid w:val="003112D1"/>
    <w:rsid w:val="00311E04"/>
    <w:rsid w:val="00317B0B"/>
    <w:rsid w:val="003279AE"/>
    <w:rsid w:val="00331641"/>
    <w:rsid w:val="0033451B"/>
    <w:rsid w:val="00345D15"/>
    <w:rsid w:val="00357192"/>
    <w:rsid w:val="0037028E"/>
    <w:rsid w:val="0038540D"/>
    <w:rsid w:val="00396986"/>
    <w:rsid w:val="003A3D6A"/>
    <w:rsid w:val="003A4994"/>
    <w:rsid w:val="003B05D8"/>
    <w:rsid w:val="003B2CB3"/>
    <w:rsid w:val="003C1EE0"/>
    <w:rsid w:val="003D2043"/>
    <w:rsid w:val="003E7857"/>
    <w:rsid w:val="003F1790"/>
    <w:rsid w:val="003F24CF"/>
    <w:rsid w:val="003F5155"/>
    <w:rsid w:val="00413DFC"/>
    <w:rsid w:val="004340F7"/>
    <w:rsid w:val="00465C3C"/>
    <w:rsid w:val="00467854"/>
    <w:rsid w:val="00473E57"/>
    <w:rsid w:val="00475DF8"/>
    <w:rsid w:val="004879F9"/>
    <w:rsid w:val="004925AA"/>
    <w:rsid w:val="004B5B5F"/>
    <w:rsid w:val="004D6DB9"/>
    <w:rsid w:val="004E531C"/>
    <w:rsid w:val="005035B7"/>
    <w:rsid w:val="00503DA0"/>
    <w:rsid w:val="0050428B"/>
    <w:rsid w:val="00511C86"/>
    <w:rsid w:val="0053558B"/>
    <w:rsid w:val="00542B05"/>
    <w:rsid w:val="00561C6A"/>
    <w:rsid w:val="00575101"/>
    <w:rsid w:val="0057638A"/>
    <w:rsid w:val="00582C99"/>
    <w:rsid w:val="00593CFC"/>
    <w:rsid w:val="005A4A1B"/>
    <w:rsid w:val="005B3939"/>
    <w:rsid w:val="005B4E66"/>
    <w:rsid w:val="005C7058"/>
    <w:rsid w:val="005D1EA8"/>
    <w:rsid w:val="005D507B"/>
    <w:rsid w:val="005E095D"/>
    <w:rsid w:val="005F6191"/>
    <w:rsid w:val="00601985"/>
    <w:rsid w:val="00611033"/>
    <w:rsid w:val="00621205"/>
    <w:rsid w:val="00623151"/>
    <w:rsid w:val="006238C5"/>
    <w:rsid w:val="006268D5"/>
    <w:rsid w:val="00627728"/>
    <w:rsid w:val="006477B7"/>
    <w:rsid w:val="00654DDB"/>
    <w:rsid w:val="00674E02"/>
    <w:rsid w:val="00675029"/>
    <w:rsid w:val="00682969"/>
    <w:rsid w:val="006B0379"/>
    <w:rsid w:val="006B24A5"/>
    <w:rsid w:val="006B7D33"/>
    <w:rsid w:val="006C7A67"/>
    <w:rsid w:val="006E20CA"/>
    <w:rsid w:val="006F784A"/>
    <w:rsid w:val="007047F4"/>
    <w:rsid w:val="00715B2D"/>
    <w:rsid w:val="00753094"/>
    <w:rsid w:val="00774B26"/>
    <w:rsid w:val="00776CA5"/>
    <w:rsid w:val="00781975"/>
    <w:rsid w:val="00782946"/>
    <w:rsid w:val="007D18A9"/>
    <w:rsid w:val="007E0F03"/>
    <w:rsid w:val="007E5D80"/>
    <w:rsid w:val="00804BC2"/>
    <w:rsid w:val="00814B29"/>
    <w:rsid w:val="008206E9"/>
    <w:rsid w:val="008301F0"/>
    <w:rsid w:val="00835C59"/>
    <w:rsid w:val="0086324D"/>
    <w:rsid w:val="00884EEC"/>
    <w:rsid w:val="00892470"/>
    <w:rsid w:val="008C09E5"/>
    <w:rsid w:val="008C60B0"/>
    <w:rsid w:val="008C790A"/>
    <w:rsid w:val="008D2069"/>
    <w:rsid w:val="008E1B06"/>
    <w:rsid w:val="00905DEE"/>
    <w:rsid w:val="00907320"/>
    <w:rsid w:val="00907CCF"/>
    <w:rsid w:val="0092223C"/>
    <w:rsid w:val="00931BC5"/>
    <w:rsid w:val="009347F6"/>
    <w:rsid w:val="0095008E"/>
    <w:rsid w:val="00963C0A"/>
    <w:rsid w:val="0097286E"/>
    <w:rsid w:val="00973B85"/>
    <w:rsid w:val="00973D1C"/>
    <w:rsid w:val="0097710F"/>
    <w:rsid w:val="009B299E"/>
    <w:rsid w:val="009B443A"/>
    <w:rsid w:val="009C4F9A"/>
    <w:rsid w:val="009D3640"/>
    <w:rsid w:val="009F24FD"/>
    <w:rsid w:val="00A071A3"/>
    <w:rsid w:val="00A419C9"/>
    <w:rsid w:val="00A46CAD"/>
    <w:rsid w:val="00A749B0"/>
    <w:rsid w:val="00A85963"/>
    <w:rsid w:val="00AA0C4D"/>
    <w:rsid w:val="00AB1D1C"/>
    <w:rsid w:val="00AB625C"/>
    <w:rsid w:val="00B1047C"/>
    <w:rsid w:val="00B11FFE"/>
    <w:rsid w:val="00B23F16"/>
    <w:rsid w:val="00B354D0"/>
    <w:rsid w:val="00B438AE"/>
    <w:rsid w:val="00B61B92"/>
    <w:rsid w:val="00B6494A"/>
    <w:rsid w:val="00B653CA"/>
    <w:rsid w:val="00B702B7"/>
    <w:rsid w:val="00B72335"/>
    <w:rsid w:val="00B77022"/>
    <w:rsid w:val="00B83BD6"/>
    <w:rsid w:val="00BB25BB"/>
    <w:rsid w:val="00BC0C97"/>
    <w:rsid w:val="00BD4709"/>
    <w:rsid w:val="00BD57B0"/>
    <w:rsid w:val="00BE1F40"/>
    <w:rsid w:val="00BF53D6"/>
    <w:rsid w:val="00C2319A"/>
    <w:rsid w:val="00C278D8"/>
    <w:rsid w:val="00C46D25"/>
    <w:rsid w:val="00C636B8"/>
    <w:rsid w:val="00C63945"/>
    <w:rsid w:val="00C72EE1"/>
    <w:rsid w:val="00C907DD"/>
    <w:rsid w:val="00CA126E"/>
    <w:rsid w:val="00CB62EA"/>
    <w:rsid w:val="00CC0B2C"/>
    <w:rsid w:val="00D0640F"/>
    <w:rsid w:val="00D2174B"/>
    <w:rsid w:val="00D21E2F"/>
    <w:rsid w:val="00D34ECF"/>
    <w:rsid w:val="00D56E6E"/>
    <w:rsid w:val="00D67CD2"/>
    <w:rsid w:val="00D70F76"/>
    <w:rsid w:val="00D74317"/>
    <w:rsid w:val="00DA1778"/>
    <w:rsid w:val="00DA54D6"/>
    <w:rsid w:val="00DB36E6"/>
    <w:rsid w:val="00DC1FC4"/>
    <w:rsid w:val="00DC31E4"/>
    <w:rsid w:val="00DC5DC7"/>
    <w:rsid w:val="00DE361D"/>
    <w:rsid w:val="00DE4D27"/>
    <w:rsid w:val="00DF0FA2"/>
    <w:rsid w:val="00DF3299"/>
    <w:rsid w:val="00E31B8D"/>
    <w:rsid w:val="00E35365"/>
    <w:rsid w:val="00E42A13"/>
    <w:rsid w:val="00E43F51"/>
    <w:rsid w:val="00E44811"/>
    <w:rsid w:val="00E5245C"/>
    <w:rsid w:val="00E54F1F"/>
    <w:rsid w:val="00E55336"/>
    <w:rsid w:val="00E613D9"/>
    <w:rsid w:val="00E93900"/>
    <w:rsid w:val="00EA11B0"/>
    <w:rsid w:val="00EA2655"/>
    <w:rsid w:val="00EA6EA3"/>
    <w:rsid w:val="00EC43B7"/>
    <w:rsid w:val="00EF1D37"/>
    <w:rsid w:val="00EF46C2"/>
    <w:rsid w:val="00F121FF"/>
    <w:rsid w:val="00F24032"/>
    <w:rsid w:val="00F33AF3"/>
    <w:rsid w:val="00F40864"/>
    <w:rsid w:val="00F53C2F"/>
    <w:rsid w:val="00F54FE3"/>
    <w:rsid w:val="00F55239"/>
    <w:rsid w:val="00F56AC1"/>
    <w:rsid w:val="00F57E56"/>
    <w:rsid w:val="00F622C3"/>
    <w:rsid w:val="00F75131"/>
    <w:rsid w:val="00FA53DC"/>
    <w:rsid w:val="00FB1A74"/>
    <w:rsid w:val="00FB3F3B"/>
    <w:rsid w:val="00FC7162"/>
    <w:rsid w:val="00FE665D"/>
    <w:rsid w:val="0358FBD0"/>
    <w:rsid w:val="046C8706"/>
    <w:rsid w:val="05DD0A17"/>
    <w:rsid w:val="0BF341F3"/>
    <w:rsid w:val="0E29E2CF"/>
    <w:rsid w:val="13A05111"/>
    <w:rsid w:val="14D5DBF4"/>
    <w:rsid w:val="163476B1"/>
    <w:rsid w:val="174EEBBE"/>
    <w:rsid w:val="18B8F3EA"/>
    <w:rsid w:val="1B79995F"/>
    <w:rsid w:val="1FB21D4A"/>
    <w:rsid w:val="213A89BC"/>
    <w:rsid w:val="21FD2345"/>
    <w:rsid w:val="228FEEE3"/>
    <w:rsid w:val="26FA1596"/>
    <w:rsid w:val="27AAC7C5"/>
    <w:rsid w:val="2ABD7DB3"/>
    <w:rsid w:val="2C431695"/>
    <w:rsid w:val="2EE06505"/>
    <w:rsid w:val="30DB2174"/>
    <w:rsid w:val="34134A41"/>
    <w:rsid w:val="38CA2C43"/>
    <w:rsid w:val="3BDD2F84"/>
    <w:rsid w:val="3C317E24"/>
    <w:rsid w:val="3C81444D"/>
    <w:rsid w:val="47733A8E"/>
    <w:rsid w:val="47E8A4C0"/>
    <w:rsid w:val="47ECBD92"/>
    <w:rsid w:val="4902D2AC"/>
    <w:rsid w:val="4BC3E06E"/>
    <w:rsid w:val="4BD99AC9"/>
    <w:rsid w:val="4E76436D"/>
    <w:rsid w:val="50808854"/>
    <w:rsid w:val="57FE6BBC"/>
    <w:rsid w:val="5C0B6093"/>
    <w:rsid w:val="5C744C51"/>
    <w:rsid w:val="5E0B7D42"/>
    <w:rsid w:val="670E631F"/>
    <w:rsid w:val="6AA47B3F"/>
    <w:rsid w:val="6AF9F434"/>
    <w:rsid w:val="6BD1B2C8"/>
    <w:rsid w:val="73DA16C3"/>
    <w:rsid w:val="79C3EA2E"/>
    <w:rsid w:val="79D9D18A"/>
    <w:rsid w:val="7B8EF559"/>
    <w:rsid w:val="7DFD2C12"/>
    <w:rsid w:val="7F958129"/>
    <w:rsid w:val="7FAFE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E8902"/>
  <w15:docId w15:val="{6EEE64B1-7D6D-452A-A157-EB1B04B1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D2043"/>
  </w:style>
  <w:style w:type="paragraph" w:styleId="Heading1">
    <w:name w:val="heading 1"/>
    <w:basedOn w:val="Normal"/>
    <w:next w:val="Normal"/>
    <w:link w:val="Heading1Char"/>
    <w:uiPriority w:val="9"/>
    <w:qFormat/>
    <w:rsid w:val="005C7058"/>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81975"/>
    <w:rPr>
      <w:color w:val="0000FF" w:themeColor="hyperlink"/>
      <w:u w:val="single"/>
    </w:rPr>
  </w:style>
  <w:style w:type="character" w:styleId="Heading1Char" w:customStyle="1">
    <w:name w:val="Heading 1 Char"/>
    <w:basedOn w:val="DefaultParagraphFont"/>
    <w:link w:val="Heading1"/>
    <w:uiPriority w:val="9"/>
    <w:rsid w:val="005C7058"/>
    <w:rPr>
      <w:rFonts w:asciiTheme="majorHAnsi" w:hAnsiTheme="majorHAnsi" w:eastAsiaTheme="majorEastAsia"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C705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C7058"/>
    <w:rPr>
      <w:rFonts w:ascii="Tahoma" w:hAnsi="Tahoma" w:cs="Tahoma"/>
      <w:sz w:val="16"/>
      <w:szCs w:val="16"/>
    </w:rPr>
  </w:style>
  <w:style w:type="paragraph" w:styleId="ListParagraph">
    <w:name w:val="List Paragraph"/>
    <w:basedOn w:val="Normal"/>
    <w:uiPriority w:val="34"/>
    <w:qFormat/>
    <w:rsid w:val="00DE361D"/>
    <w:pPr>
      <w:ind w:left="720"/>
      <w:contextualSpacing/>
    </w:pPr>
  </w:style>
  <w:style w:type="character" w:styleId="FollowedHyperlink">
    <w:name w:val="FollowedHyperlink"/>
    <w:basedOn w:val="DefaultParagraphFont"/>
    <w:uiPriority w:val="99"/>
    <w:semiHidden/>
    <w:unhideWhenUsed/>
    <w:rsid w:val="00907320"/>
    <w:rPr>
      <w:color w:val="800080" w:themeColor="followedHyperlink"/>
      <w:u w:val="single"/>
    </w:rPr>
  </w:style>
  <w:style w:type="table" w:styleId="TableGrid">
    <w:name w:val="Table Grid"/>
    <w:basedOn w:val="TableNormal"/>
    <w:uiPriority w:val="59"/>
    <w:rsid w:val="006019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E5D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E5D80"/>
  </w:style>
  <w:style w:type="paragraph" w:styleId="Footer">
    <w:name w:val="footer"/>
    <w:basedOn w:val="Normal"/>
    <w:link w:val="FooterChar"/>
    <w:uiPriority w:val="99"/>
    <w:unhideWhenUsed/>
    <w:rsid w:val="007E5D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E5D80"/>
  </w:style>
  <w:style w:type="character" w:styleId="normaltextrun" w:customStyle="1">
    <w:name w:val="normaltextrun"/>
    <w:basedOn w:val="DefaultParagraphFont"/>
    <w:uiPriority w:val="1"/>
    <w:rsid w:val="30DB2174"/>
  </w:style>
  <w:style w:type="character" w:styleId="eop" w:customStyle="1">
    <w:name w:val="eop"/>
    <w:basedOn w:val="DefaultParagraphFont"/>
    <w:uiPriority w:val="1"/>
    <w:rsid w:val="30DB2174"/>
  </w:style>
  <w:style w:type="paragraph" w:styleId="Revision">
    <w:name w:val="Revision"/>
    <w:hidden/>
    <w:uiPriority w:val="99"/>
    <w:semiHidden/>
    <w:rsid w:val="0011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94107">
      <w:bodyDiv w:val="1"/>
      <w:marLeft w:val="0"/>
      <w:marRight w:val="0"/>
      <w:marTop w:val="0"/>
      <w:marBottom w:val="0"/>
      <w:divBdr>
        <w:top w:val="none" w:sz="0" w:space="0" w:color="auto"/>
        <w:left w:val="none" w:sz="0" w:space="0" w:color="auto"/>
        <w:bottom w:val="none" w:sz="0" w:space="0" w:color="auto"/>
        <w:right w:val="none" w:sz="0" w:space="0" w:color="auto"/>
      </w:divBdr>
      <w:divsChild>
        <w:div w:id="118571494">
          <w:marLeft w:val="450"/>
          <w:marRight w:val="0"/>
          <w:marTop w:val="2580"/>
          <w:marBottom w:val="0"/>
          <w:divBdr>
            <w:top w:val="none" w:sz="0" w:space="0" w:color="auto"/>
            <w:left w:val="none" w:sz="0" w:space="0" w:color="auto"/>
            <w:bottom w:val="none" w:sz="0" w:space="0" w:color="auto"/>
            <w:right w:val="none" w:sz="0" w:space="0" w:color="auto"/>
          </w:divBdr>
          <w:divsChild>
            <w:div w:id="1041633475">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060708773">
      <w:bodyDiv w:val="1"/>
      <w:marLeft w:val="0"/>
      <w:marRight w:val="0"/>
      <w:marTop w:val="0"/>
      <w:marBottom w:val="0"/>
      <w:divBdr>
        <w:top w:val="none" w:sz="0" w:space="0" w:color="auto"/>
        <w:left w:val="none" w:sz="0" w:space="0" w:color="auto"/>
        <w:bottom w:val="none" w:sz="0" w:space="0" w:color="auto"/>
        <w:right w:val="none" w:sz="0" w:space="0" w:color="auto"/>
      </w:divBdr>
      <w:divsChild>
        <w:div w:id="902566885">
          <w:marLeft w:val="450"/>
          <w:marRight w:val="0"/>
          <w:marTop w:val="2580"/>
          <w:marBottom w:val="0"/>
          <w:divBdr>
            <w:top w:val="none" w:sz="0" w:space="0" w:color="auto"/>
            <w:left w:val="none" w:sz="0" w:space="0" w:color="auto"/>
            <w:bottom w:val="none" w:sz="0" w:space="0" w:color="auto"/>
            <w:right w:val="none" w:sz="0" w:space="0" w:color="auto"/>
          </w:divBdr>
          <w:divsChild>
            <w:div w:id="103160391">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assaferegister.co.uk/?utm_source=GSW20%20toolkit&amp;utm_medium=email&amp;utm_campaign=Gas%20Safety%20Week&amp;utm_content=commercialcateringarticle-toolkitemai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5.jpg" Id="Rb8774edf770b45bd" /><Relationship Type="http://schemas.openxmlformats.org/officeDocument/2006/relationships/image" Target="/media/image6.jpg" Id="R2ccb7111a5b1494e" /><Relationship Type="http://schemas.microsoft.com/office/2011/relationships/people" Target="people.xml" Id="Rbe1ea408b6124fa2" /><Relationship Type="http://schemas.microsoft.com/office/2011/relationships/commentsExtended" Target="commentsExtended.xml" Id="R6e0e31da410c4ae0" /><Relationship Type="http://schemas.microsoft.com/office/2016/09/relationships/commentsIds" Target="commentsIds.xml" Id="Rea74793b3cbd46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4cf1a414-45c0-4872-b51d-5a86fd2db4db" xsi:nil="true"/>
    <lcf76f155ced4ddcb4097134ff3c332f xmlns="3bf7a852-f08c-40ae-91dc-fbe5d9b242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80D52666A3374BA3F5B8DE2A20D89D" ma:contentTypeVersion="19" ma:contentTypeDescription="Create a new document." ma:contentTypeScope="" ma:versionID="a3556fddaaa437c600f57146f4c039d5">
  <xsd:schema xmlns:xsd="http://www.w3.org/2001/XMLSchema" xmlns:xs="http://www.w3.org/2001/XMLSchema" xmlns:p="http://schemas.microsoft.com/office/2006/metadata/properties" xmlns:ns2="3bf7a852-f08c-40ae-91dc-fbe5d9b24236" xmlns:ns3="09dd6c4e-c5ef-4dd5-a21a-9cdb6df88fcc" xmlns:ns4="4cf1a414-45c0-4872-b51d-5a86fd2db4db" targetNamespace="http://schemas.microsoft.com/office/2006/metadata/properties" ma:root="true" ma:fieldsID="411ec014339064d892ac2eb7d6b40122" ns2:_="" ns3:_="" ns4:_="">
    <xsd:import namespace="3bf7a852-f08c-40ae-91dc-fbe5d9b24236"/>
    <xsd:import namespace="09dd6c4e-c5ef-4dd5-a21a-9cdb6df88fcc"/>
    <xsd:import namespace="4cf1a414-45c0-4872-b51d-5a86fd2db4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7a852-f08c-40ae-91dc-fbe5d9b24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dd6c4e-c5ef-4dd5-a21a-9cdb6df88f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f1a414-45c0-4872-b51d-5a86fd2db4d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c99403-5604-4b65-bcde-3de80b042495}" ma:internalName="TaxCatchAll" ma:showField="CatchAllData" ma:web="4cf1a414-45c0-4872-b51d-5a86fd2db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2954F-89C0-4C2B-97A0-044DDF23A5D8}">
  <ds:schemaRefs>
    <ds:schemaRef ds:uri="http://schemas.microsoft.com/sharepoint/v3/contenttype/forms"/>
  </ds:schemaRefs>
</ds:datastoreItem>
</file>

<file path=customXml/itemProps2.xml><?xml version="1.0" encoding="utf-8"?>
<ds:datastoreItem xmlns:ds="http://schemas.openxmlformats.org/officeDocument/2006/customXml" ds:itemID="{28BB9DB3-2705-4623-84B1-EACDA2165C52}">
  <ds:schemaRefs>
    <ds:schemaRef ds:uri="http://schemas.microsoft.com/office/2006/metadata/properties"/>
    <ds:schemaRef ds:uri="4cf1a414-45c0-4872-b51d-5a86fd2db4db"/>
    <ds:schemaRef ds:uri="3bf7a852-f08c-40ae-91dc-fbe5d9b24236"/>
    <ds:schemaRef ds:uri="http://schemas.microsoft.com/office/infopath/2007/PartnerControls"/>
  </ds:schemaRefs>
</ds:datastoreItem>
</file>

<file path=customXml/itemProps3.xml><?xml version="1.0" encoding="utf-8"?>
<ds:datastoreItem xmlns:ds="http://schemas.openxmlformats.org/officeDocument/2006/customXml" ds:itemID="{6AD86049-8F4F-4C56-9163-16B485165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7a852-f08c-40ae-91dc-fbe5d9b24236"/>
    <ds:schemaRef ds:uri="09dd6c4e-c5ef-4dd5-a21a-9cdb6df88fcc"/>
    <ds:schemaRef ds:uri="4cf1a414-45c0-4872-b51d-5a86fd2db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Capita Business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gillies</dc:creator>
  <keywords/>
  <dc:description/>
  <lastModifiedBy>Rachel Craggs</lastModifiedBy>
  <revision>25</revision>
  <dcterms:created xsi:type="dcterms:W3CDTF">2025-06-12T11:55:00.0000000Z</dcterms:created>
  <dcterms:modified xsi:type="dcterms:W3CDTF">2025-07-02T14:48:32.7449290Z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0x0101006780D52666A3374BA3F5B8DE2A20D89D</vt:lpwstr>
  </property>
  <property fmtid="{D5CDD505-2E9C-101B-9397-08002B2CF9AE}" pid="3" name="MediaServiceImageTags">
    <vt:lpwstr/>
  </property>
</Properties>
</file>